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center"/>
        <w:textAlignment w:val="auto"/>
        <w:rPr>
          <w:rFonts w:hint="eastAsia" w:asciiTheme="minorEastAsia" w:hAnsiTheme="minorEastAsia" w:eastAsiaTheme="minorEastAsia" w:cstheme="minorEastAsia"/>
          <w:spacing w:val="60"/>
          <w:sz w:val="32"/>
          <w:szCs w:val="32"/>
        </w:rPr>
      </w:pPr>
      <w:r>
        <w:rPr>
          <w:rFonts w:hint="eastAsia" w:asciiTheme="minorEastAsia" w:hAnsiTheme="minorEastAsia" w:eastAsiaTheme="minorEastAsia" w:cstheme="minorEastAsia"/>
          <w:sz w:val="32"/>
          <w:szCs w:val="32"/>
        </w:rPr>
        <w:t>宝陈农</w:t>
      </w:r>
      <w:r>
        <w:rPr>
          <w:rFonts w:hint="eastAsia" w:asciiTheme="minorEastAsia" w:hAnsiTheme="minorEastAsia" w:eastAsiaTheme="minorEastAsia" w:cstheme="minorEastAsia"/>
          <w:sz w:val="32"/>
          <w:szCs w:val="32"/>
          <w:lang w:eastAsia="zh-CN"/>
        </w:rPr>
        <w:t>发</w:t>
      </w:r>
      <w:r>
        <w:rPr>
          <w:rFonts w:hint="eastAsia" w:asciiTheme="minorEastAsia" w:hAnsiTheme="minorEastAsia" w:eastAsiaTheme="minorEastAsia" w:cstheme="minorEastAsia"/>
          <w:sz w:val="32"/>
          <w:szCs w:val="32"/>
        </w:rPr>
        <w:t>〔20</w:t>
      </w:r>
      <w:r>
        <w:rPr>
          <w:rFonts w:hint="eastAsia" w:asciiTheme="minorEastAsia" w:hAnsiTheme="minorEastAsia" w:eastAsiaTheme="minorEastAsia" w:cstheme="minorEastAsia"/>
          <w:sz w:val="32"/>
          <w:szCs w:val="32"/>
          <w:lang w:val="en-US" w:eastAsia="zh-CN"/>
        </w:rPr>
        <w:t>22</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2"/>
          <w:szCs w:val="32"/>
          <w:lang w:val="en-US" w:eastAsia="zh-CN"/>
        </w:rPr>
        <w:t>116</w:t>
      </w:r>
      <w:r>
        <w:rPr>
          <w:rFonts w:hint="eastAsia" w:asciiTheme="minorEastAsia" w:hAnsiTheme="minorEastAsia" w:eastAsiaTheme="minorEastAsia" w:cstheme="minorEastAsia"/>
          <w:sz w:val="32"/>
          <w:szCs w:val="32"/>
        </w:rPr>
        <w:t>号</w:t>
      </w:r>
    </w:p>
    <w:p>
      <w:pPr>
        <w:keepNext w:val="0"/>
        <w:keepLines w:val="0"/>
        <w:pageBreakBefore w:val="0"/>
        <w:widowControl w:val="0"/>
        <w:kinsoku/>
        <w:wordWrap/>
        <w:overflowPunct/>
        <w:topLinePunct w:val="0"/>
        <w:autoSpaceDE/>
        <w:autoSpaceDN/>
        <w:bidi w:val="0"/>
        <w:adjustRightInd/>
        <w:snapToGrid w:val="0"/>
        <w:spacing w:line="440" w:lineRule="exact"/>
        <w:ind w:firstLine="2400" w:firstLineChars="500"/>
        <w:jc w:val="center"/>
        <w:textAlignment w:val="auto"/>
        <w:rPr>
          <w:rFonts w:hint="eastAsia" w:ascii="黑体" w:hAnsi="黑体" w:eastAsia="黑体"/>
          <w:spacing w:val="60"/>
          <w:sz w:val="36"/>
          <w:szCs w:val="36"/>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both"/>
        <w:textAlignment w:val="auto"/>
        <w:rPr>
          <w:rFonts w:hint="eastAsia" w:ascii="黑体" w:hAnsi="黑体" w:eastAsia="黑体" w:cs="黑体"/>
          <w:spacing w:val="60"/>
          <w:sz w:val="36"/>
          <w:szCs w:val="36"/>
        </w:rPr>
      </w:pP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center"/>
        <w:textAlignment w:val="auto"/>
        <w:rPr>
          <w:rFonts w:hint="eastAsia" w:ascii="黑体" w:hAnsi="黑体" w:eastAsia="黑体" w:cs="黑体"/>
          <w:sz w:val="36"/>
          <w:szCs w:val="36"/>
        </w:rPr>
      </w:pPr>
      <w:r>
        <w:rPr>
          <w:rFonts w:hint="eastAsia" w:ascii="黑体" w:hAnsi="黑体" w:eastAsia="黑体" w:cs="黑体"/>
          <w:sz w:val="36"/>
          <w:szCs w:val="36"/>
        </w:rPr>
        <w:t>宝鸡市陈仓区农业</w:t>
      </w:r>
      <w:r>
        <w:rPr>
          <w:rFonts w:hint="eastAsia" w:ascii="黑体" w:hAnsi="黑体" w:eastAsia="黑体" w:cs="黑体"/>
          <w:sz w:val="36"/>
          <w:szCs w:val="36"/>
          <w:lang w:eastAsia="zh-CN"/>
        </w:rPr>
        <w:t>农村</w:t>
      </w:r>
      <w:r>
        <w:rPr>
          <w:rFonts w:hint="eastAsia" w:ascii="黑体" w:hAnsi="黑体" w:eastAsia="黑体" w:cs="黑体"/>
          <w:sz w:val="36"/>
          <w:szCs w:val="36"/>
        </w:rPr>
        <w:t>局</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eastAsia="zh-CN"/>
        </w:rPr>
        <w:t>关于陈仓区</w:t>
      </w:r>
      <w:r>
        <w:rPr>
          <w:rFonts w:hint="eastAsia" w:ascii="黑体" w:hAnsi="黑体" w:eastAsia="黑体" w:cs="黑体"/>
          <w:sz w:val="36"/>
          <w:szCs w:val="36"/>
          <w:lang w:val="en-US" w:eastAsia="zh-CN"/>
        </w:rPr>
        <w:t>2022年提前下达省市级财政衔接资金</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center"/>
        <w:textAlignment w:val="auto"/>
        <w:rPr>
          <w:rFonts w:hint="eastAsia" w:ascii="楷体" w:hAnsi="楷体" w:eastAsia="楷体" w:cs="楷体"/>
          <w:sz w:val="32"/>
          <w:szCs w:val="32"/>
        </w:rPr>
      </w:pPr>
      <w:r>
        <w:rPr>
          <w:rFonts w:hint="eastAsia" w:ascii="黑体" w:hAnsi="黑体" w:eastAsia="黑体" w:cs="黑体"/>
          <w:sz w:val="36"/>
          <w:szCs w:val="36"/>
          <w:lang w:val="en-US" w:eastAsia="zh-CN"/>
        </w:rPr>
        <w:t>慕仪镇灌溉机井维修</w:t>
      </w:r>
      <w:r>
        <w:rPr>
          <w:rFonts w:hint="eastAsia" w:ascii="黑体" w:hAnsi="黑体" w:eastAsia="黑体" w:cs="黑体"/>
          <w:sz w:val="36"/>
          <w:szCs w:val="36"/>
          <w:lang w:eastAsia="zh-CN"/>
        </w:rPr>
        <w:t>项目实施方案</w:t>
      </w:r>
      <w:r>
        <w:rPr>
          <w:rFonts w:hint="eastAsia" w:ascii="黑体" w:hAnsi="黑体" w:eastAsia="黑体" w:cs="黑体"/>
          <w:sz w:val="36"/>
          <w:szCs w:val="36"/>
        </w:rPr>
        <w:t>的批复</w:t>
      </w:r>
    </w:p>
    <w:p>
      <w:pPr>
        <w:keepNext w:val="0"/>
        <w:keepLines w:val="0"/>
        <w:pageBreakBefore w:val="0"/>
        <w:widowControl w:val="0"/>
        <w:kinsoku/>
        <w:wordWrap/>
        <w:overflowPunct/>
        <w:topLinePunct w:val="0"/>
        <w:autoSpaceDE/>
        <w:autoSpaceDN/>
        <w:bidi w:val="0"/>
        <w:adjustRightInd/>
        <w:snapToGrid w:val="0"/>
        <w:spacing w:line="520" w:lineRule="exact"/>
        <w:ind w:firstLine="0" w:firstLineChars="0"/>
        <w:jc w:val="both"/>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00" w:lineRule="exact"/>
        <w:ind w:firstLine="0" w:firstLineChars="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慕仪镇人民政府</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val="0"/>
        <w:spacing w:line="500" w:lineRule="exact"/>
        <w:jc w:val="both"/>
        <w:textAlignment w:val="auto"/>
        <w:rPr>
          <w:rFonts w:hint="eastAsia" w:ascii="仿宋" w:hAnsi="仿宋" w:eastAsia="仿宋" w:cs="仿宋"/>
          <w:sz w:val="32"/>
          <w:szCs w:val="32"/>
          <w:lang w:val="en-US" w:eastAsia="zh-CN"/>
        </w:rPr>
      </w:pPr>
      <w:r>
        <w:rPr>
          <w:rFonts w:hint="eastAsia" w:ascii="仿宋_GB2312" w:hAnsi="仿宋_GB2312" w:eastAsia="仿宋_GB2312" w:cs="仿宋_GB2312"/>
          <w:sz w:val="32"/>
          <w:szCs w:val="32"/>
        </w:rPr>
        <w:t>你</w:t>
      </w:r>
      <w:r>
        <w:rPr>
          <w:rFonts w:hint="eastAsia" w:ascii="仿宋_GB2312" w:hAnsi="仿宋_GB2312" w:eastAsia="仿宋_GB2312" w:cs="仿宋_GB2312"/>
          <w:sz w:val="32"/>
          <w:szCs w:val="32"/>
          <w:lang w:eastAsia="zh-CN"/>
        </w:rPr>
        <w:t>镇上报的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关于上报</w:t>
      </w:r>
      <w:r>
        <w:rPr>
          <w:rFonts w:hint="eastAsia" w:ascii="仿宋_GB2312" w:hAnsi="仿宋_GB2312" w:eastAsia="仿宋_GB2312" w:cs="仿宋_GB2312"/>
          <w:sz w:val="32"/>
          <w:szCs w:val="32"/>
          <w:lang w:val="en-US" w:eastAsia="zh-CN"/>
        </w:rPr>
        <w:t>慕仪镇灌溉机井维修项目实施方案的报告</w:t>
      </w:r>
      <w:r>
        <w:rPr>
          <w:rFonts w:hint="eastAsia" w:ascii="仿宋" w:hAnsi="仿宋" w:eastAsia="仿宋" w:cs="仿宋"/>
          <w:sz w:val="32"/>
          <w:szCs w:val="32"/>
        </w:rPr>
        <w:t>》(</w:t>
      </w:r>
      <w:r>
        <w:rPr>
          <w:rFonts w:hint="eastAsia" w:ascii="仿宋" w:hAnsi="仿宋" w:eastAsia="仿宋" w:cs="仿宋"/>
          <w:sz w:val="32"/>
          <w:szCs w:val="32"/>
          <w:lang w:eastAsia="zh-CN"/>
        </w:rPr>
        <w:t>宝陈慕政发</w:t>
      </w:r>
      <w:r>
        <w:rPr>
          <w:rFonts w:hint="eastAsia" w:ascii="仿宋" w:hAnsi="仿宋" w:eastAsia="仿宋" w:cs="仿宋"/>
          <w:color w:val="000000"/>
          <w:sz w:val="32"/>
          <w:szCs w:val="32"/>
        </w:rPr>
        <w:t>〔</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76</w:t>
      </w:r>
      <w:r>
        <w:rPr>
          <w:rFonts w:hint="eastAsia" w:ascii="仿宋" w:hAnsi="仿宋" w:eastAsia="仿宋" w:cs="仿宋"/>
          <w:sz w:val="32"/>
          <w:szCs w:val="32"/>
        </w:rPr>
        <w:t>号</w:t>
      </w:r>
      <w:r>
        <w:rPr>
          <w:rFonts w:hint="eastAsia" w:ascii="仿宋" w:hAnsi="仿宋" w:eastAsia="仿宋" w:cs="仿宋"/>
          <w:sz w:val="32"/>
          <w:szCs w:val="32"/>
          <w:lang w:eastAsia="zh-CN"/>
        </w:rPr>
        <w:t>）</w:t>
      </w:r>
      <w:r>
        <w:rPr>
          <w:rFonts w:hint="eastAsia" w:ascii="仿宋" w:hAnsi="仿宋" w:eastAsia="仿宋" w:cs="仿宋"/>
          <w:sz w:val="32"/>
          <w:szCs w:val="32"/>
        </w:rPr>
        <w:t>收悉。</w:t>
      </w:r>
      <w:r>
        <w:rPr>
          <w:rFonts w:hint="eastAsia" w:ascii="仿宋" w:hAnsi="仿宋" w:eastAsia="仿宋" w:cs="仿宋"/>
          <w:sz w:val="32"/>
          <w:szCs w:val="32"/>
          <w:lang w:val="en-US" w:eastAsia="zh-CN"/>
        </w:rPr>
        <w:t>经4月21日陈仓区新增2022年财政衔接专项资金项目评审会公开质询评审，该项目符合项目管理规定，同意你镇实施</w:t>
      </w:r>
      <w:r>
        <w:rPr>
          <w:rFonts w:hint="eastAsia" w:ascii="仿宋_GB2312" w:hAnsi="仿宋_GB2312" w:eastAsia="仿宋_GB2312" w:cs="仿宋_GB2312"/>
          <w:sz w:val="32"/>
          <w:szCs w:val="32"/>
          <w:lang w:eastAsia="zh-CN"/>
        </w:rPr>
        <w:t>灌溉机井维修项目</w:t>
      </w:r>
      <w:r>
        <w:rPr>
          <w:rFonts w:hint="eastAsia" w:ascii="仿宋" w:hAnsi="仿宋" w:eastAsia="仿宋" w:cs="仿宋"/>
          <w:sz w:val="32"/>
          <w:szCs w:val="32"/>
          <w:lang w:val="en-US" w:eastAsia="zh-CN"/>
        </w:rPr>
        <w:t>，现批复如下：</w:t>
      </w:r>
    </w:p>
    <w:p>
      <w:pPr>
        <w:pStyle w:val="3"/>
        <w:keepNext w:val="0"/>
        <w:keepLines w:val="0"/>
        <w:pageBreakBefore w:val="0"/>
        <w:widowControl w:val="0"/>
        <w:numPr>
          <w:ilvl w:val="0"/>
          <w:numId w:val="0"/>
        </w:numPr>
        <w:kinsoku/>
        <w:wordWrap/>
        <w:overflowPunct/>
        <w:topLinePunct w:val="0"/>
        <w:autoSpaceDE/>
        <w:autoSpaceDN/>
        <w:bidi w:val="0"/>
        <w:adjustRightInd/>
        <w:spacing w:line="500" w:lineRule="exact"/>
        <w:ind w:leftChars="200" w:firstLine="320" w:firstLineChars="100"/>
        <w:jc w:val="both"/>
        <w:textAlignment w:val="auto"/>
        <w:rPr>
          <w:rFonts w:hint="eastAsia" w:ascii="黑体" w:hAnsi="黑体" w:eastAsia="黑体" w:cs="黑体"/>
          <w:b w:val="0"/>
          <w:kern w:val="2"/>
          <w:sz w:val="32"/>
          <w:szCs w:val="32"/>
          <w:lang w:val="en-US" w:eastAsia="zh-CN" w:bidi="ar-SA"/>
        </w:rPr>
      </w:pPr>
      <w:r>
        <w:rPr>
          <w:rFonts w:hint="eastAsia" w:ascii="黑体" w:hAnsi="黑体" w:eastAsia="黑体" w:cs="黑体"/>
          <w:b w:val="0"/>
          <w:kern w:val="2"/>
          <w:sz w:val="32"/>
          <w:szCs w:val="32"/>
          <w:lang w:val="en-US" w:eastAsia="zh-CN" w:bidi="ar-SA"/>
        </w:rPr>
        <w:t>一、项目建设内容及规模</w:t>
      </w:r>
    </w:p>
    <w:p>
      <w:pPr>
        <w:pStyle w:val="3"/>
        <w:keepNext w:val="0"/>
        <w:keepLines w:val="0"/>
        <w:pageBreakBefore w:val="0"/>
        <w:widowControl w:val="0"/>
        <w:numPr>
          <w:ilvl w:val="0"/>
          <w:numId w:val="0"/>
        </w:numPr>
        <w:kinsoku/>
        <w:wordWrap/>
        <w:overflowPunct/>
        <w:topLinePunct w:val="0"/>
        <w:autoSpaceDE/>
        <w:autoSpaceDN/>
        <w:bidi w:val="0"/>
        <w:adjustRightInd/>
        <w:spacing w:line="500" w:lineRule="exact"/>
        <w:ind w:leftChars="200" w:firstLine="320" w:firstLineChars="100"/>
        <w:jc w:val="both"/>
        <w:textAlignment w:val="auto"/>
        <w:rPr>
          <w:rFonts w:hint="eastAsia" w:ascii="楷体" w:hAnsi="楷体" w:eastAsia="楷体" w:cs="楷体"/>
          <w:b w:val="0"/>
          <w:kern w:val="2"/>
          <w:sz w:val="32"/>
          <w:szCs w:val="32"/>
          <w:lang w:val="en-US" w:eastAsia="zh-CN" w:bidi="ar-SA"/>
        </w:rPr>
      </w:pPr>
      <w:r>
        <w:rPr>
          <w:rFonts w:hint="eastAsia" w:ascii="楷体" w:hAnsi="楷体" w:eastAsia="楷体" w:cs="楷体"/>
          <w:b w:val="0"/>
          <w:kern w:val="2"/>
          <w:sz w:val="32"/>
          <w:szCs w:val="32"/>
          <w:lang w:val="en-US" w:eastAsia="zh-CN" w:bidi="ar-SA"/>
        </w:rPr>
        <w:t>1.建设地点</w:t>
      </w:r>
    </w:p>
    <w:p>
      <w:pPr>
        <w:pStyle w:val="3"/>
        <w:keepNext w:val="0"/>
        <w:keepLines w:val="0"/>
        <w:pageBreakBefore w:val="0"/>
        <w:widowControl w:val="0"/>
        <w:numPr>
          <w:ilvl w:val="0"/>
          <w:numId w:val="0"/>
        </w:numPr>
        <w:kinsoku/>
        <w:wordWrap/>
        <w:overflowPunct/>
        <w:topLinePunct w:val="0"/>
        <w:autoSpaceDE/>
        <w:autoSpaceDN/>
        <w:bidi w:val="0"/>
        <w:adjustRightInd/>
        <w:spacing w:line="500" w:lineRule="exact"/>
        <w:ind w:leftChars="200" w:firstLine="320" w:firstLineChars="1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项目建设地点在慕仪镇7个行政村。</w:t>
      </w:r>
    </w:p>
    <w:p>
      <w:pPr>
        <w:pStyle w:val="3"/>
        <w:keepNext w:val="0"/>
        <w:keepLines w:val="0"/>
        <w:pageBreakBefore w:val="0"/>
        <w:widowControl w:val="0"/>
        <w:numPr>
          <w:ilvl w:val="0"/>
          <w:numId w:val="0"/>
        </w:numPr>
        <w:kinsoku/>
        <w:wordWrap/>
        <w:overflowPunct/>
        <w:topLinePunct w:val="0"/>
        <w:autoSpaceDE/>
        <w:autoSpaceDN/>
        <w:bidi w:val="0"/>
        <w:adjustRightInd/>
        <w:spacing w:line="500" w:lineRule="exact"/>
        <w:ind w:leftChars="200" w:firstLine="320" w:firstLineChars="100"/>
        <w:jc w:val="both"/>
        <w:textAlignment w:val="auto"/>
        <w:rPr>
          <w:rFonts w:hint="eastAsia" w:ascii="楷体" w:hAnsi="楷体" w:eastAsia="楷体" w:cs="楷体"/>
          <w:b w:val="0"/>
          <w:kern w:val="2"/>
          <w:sz w:val="32"/>
          <w:szCs w:val="32"/>
          <w:lang w:val="en-US" w:eastAsia="zh-CN" w:bidi="ar-SA"/>
        </w:rPr>
      </w:pPr>
      <w:r>
        <w:rPr>
          <w:rFonts w:hint="eastAsia" w:ascii="楷体" w:hAnsi="楷体" w:eastAsia="楷体" w:cs="楷体"/>
          <w:b w:val="0"/>
          <w:kern w:val="2"/>
          <w:sz w:val="32"/>
          <w:szCs w:val="32"/>
          <w:lang w:val="en-US" w:eastAsia="zh-CN" w:bidi="ar-SA"/>
        </w:rPr>
        <w:t>2.建设规模</w:t>
      </w:r>
    </w:p>
    <w:p>
      <w:pPr>
        <w:pStyle w:val="3"/>
        <w:keepNext w:val="0"/>
        <w:keepLines w:val="0"/>
        <w:pageBreakBefore w:val="0"/>
        <w:widowControl w:val="0"/>
        <w:numPr>
          <w:ilvl w:val="0"/>
          <w:numId w:val="0"/>
        </w:numPr>
        <w:kinsoku/>
        <w:wordWrap/>
        <w:overflowPunct/>
        <w:topLinePunct w:val="0"/>
        <w:autoSpaceDE/>
        <w:autoSpaceDN/>
        <w:bidi w:val="0"/>
        <w:adjustRightInd/>
        <w:spacing w:line="500" w:lineRule="exact"/>
        <w:ind w:firstLine="640" w:firstLineChars="2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维修养护机井15眼，分两个标段施工，涉及灌溉面积1.1万亩。Ⅰ标段为慕仪镇农田灌溉机井维修项目低压用电工程，Ⅱ标段为慕仪镇农田灌溉机井维修水利设施配套工程。</w:t>
      </w:r>
    </w:p>
    <w:p>
      <w:pPr>
        <w:pStyle w:val="2"/>
        <w:keepNext w:val="0"/>
        <w:keepLines w:val="0"/>
        <w:pageBreakBefore w:val="0"/>
        <w:widowControl w:val="0"/>
        <w:numPr>
          <w:ilvl w:val="0"/>
          <w:numId w:val="0"/>
        </w:numPr>
        <w:kinsoku/>
        <w:wordWrap/>
        <w:overflowPunct/>
        <w:topLinePunct w:val="0"/>
        <w:autoSpaceDE/>
        <w:autoSpaceDN/>
        <w:bidi w:val="0"/>
        <w:adjustRightInd/>
        <w:spacing w:line="500" w:lineRule="exact"/>
        <w:ind w:firstLine="640" w:firstLineChars="200"/>
        <w:textAlignment w:val="auto"/>
        <w:rPr>
          <w:rFonts w:hint="eastAsia" w:ascii="楷体" w:hAnsi="楷体" w:eastAsia="楷体" w:cs="楷体"/>
          <w:b w:val="0"/>
          <w:kern w:val="2"/>
          <w:sz w:val="32"/>
          <w:szCs w:val="32"/>
          <w:lang w:val="en-US" w:eastAsia="zh-CN" w:bidi="ar-SA"/>
        </w:rPr>
      </w:pPr>
      <w:r>
        <w:rPr>
          <w:rFonts w:hint="eastAsia" w:ascii="楷体" w:hAnsi="楷体" w:eastAsia="楷体" w:cs="楷体"/>
          <w:b w:val="0"/>
          <w:kern w:val="2"/>
          <w:sz w:val="32"/>
          <w:szCs w:val="32"/>
          <w:lang w:val="en-US" w:eastAsia="zh-CN" w:bidi="ar-SA"/>
        </w:rPr>
        <w:t>3.建设内容和投资概算</w:t>
      </w:r>
    </w:p>
    <w:p>
      <w:pPr>
        <w:keepNext w:val="0"/>
        <w:keepLines w:val="0"/>
        <w:pageBreakBefore w:val="0"/>
        <w:widowControl w:val="0"/>
        <w:kinsoku/>
        <w:wordWrap/>
        <w:overflowPunct/>
        <w:topLinePunct w:val="0"/>
        <w:autoSpaceDE/>
        <w:autoSpaceDN/>
        <w:bidi w:val="0"/>
        <w:adjustRightInd/>
        <w:snapToGrid w:val="0"/>
        <w:spacing w:line="500" w:lineRule="exact"/>
        <w:ind w:firstLine="640" w:firstLineChars="2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Ⅰ标段慕仪镇农田灌溉机井维修项目低压用电工程涉及齐东村、第三村、第四村、黎明村、五星村、团结村、洞坡村7个村8处。建设内容为：1.新立电杆￠190*12M/15基、￠150*10M/4基、￠350*12M/2基；2.新架10kV线路JKLYJ-10/0.8km；3.敷设低压电缆YJLV22-3*50+1/1.65km、YJLV22-3*70+1/0.455km；4.新装100kVA配变1台、80kVA配变1台、杆上配电箱2面、低压表箱27处；5.开挖杆坑21处、拉线坑开挖、回填4处。</w:t>
      </w:r>
    </w:p>
    <w:p>
      <w:pPr>
        <w:keepNext w:val="0"/>
        <w:keepLines w:val="0"/>
        <w:pageBreakBefore w:val="0"/>
        <w:widowControl w:val="0"/>
        <w:kinsoku/>
        <w:wordWrap/>
        <w:overflowPunct/>
        <w:topLinePunct w:val="0"/>
        <w:autoSpaceDE/>
        <w:autoSpaceDN/>
        <w:bidi w:val="0"/>
        <w:adjustRightInd/>
        <w:snapToGrid w:val="0"/>
        <w:spacing w:line="500" w:lineRule="exact"/>
        <w:ind w:firstLine="640" w:firstLineChars="2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Ⅱ标段慕仪镇农田灌溉机井维修项目水利设施配套工程涉及7个村15口机井。维修内容为：安装启动柜15台，安装水泵11台，更换泵管1549米，更换防水电缆1720米，检修水井3个，安装井房门2套，安装配电箱13个，洗井5口，新建泵房2个。</w:t>
      </w:r>
    </w:p>
    <w:p>
      <w:pPr>
        <w:keepNext w:val="0"/>
        <w:keepLines w:val="0"/>
        <w:pageBreakBefore w:val="0"/>
        <w:widowControl w:val="0"/>
        <w:kinsoku/>
        <w:wordWrap/>
        <w:overflowPunct/>
        <w:topLinePunct w:val="0"/>
        <w:autoSpaceDE/>
        <w:autoSpaceDN/>
        <w:bidi w:val="0"/>
        <w:adjustRightInd/>
        <w:snapToGrid w:val="0"/>
        <w:spacing w:line="500" w:lineRule="exact"/>
        <w:ind w:firstLine="640" w:firstLineChars="2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Ⅰ标段慕仪镇农田灌溉机井维修项目低压用电工程预算资金45.602137万元，Ⅱ标段慕仪镇农田灌溉机井维修项目水利设施配套工程预算62.297863万元，共需资金107.9万元。</w:t>
      </w:r>
    </w:p>
    <w:p>
      <w:pPr>
        <w:keepNext w:val="0"/>
        <w:keepLines w:val="0"/>
        <w:pageBreakBefore w:val="0"/>
        <w:widowControl w:val="0"/>
        <w:kinsoku/>
        <w:wordWrap/>
        <w:overflowPunct/>
        <w:topLinePunct w:val="0"/>
        <w:autoSpaceDE/>
        <w:autoSpaceDN/>
        <w:bidi w:val="0"/>
        <w:adjustRightInd/>
        <w:snapToGrid w:val="0"/>
        <w:spacing w:line="500" w:lineRule="exact"/>
        <w:ind w:firstLine="640" w:firstLineChars="200"/>
        <w:jc w:val="both"/>
        <w:textAlignment w:val="auto"/>
        <w:rPr>
          <w:rFonts w:hint="eastAsia" w:ascii="黑体" w:hAnsi="黑体" w:eastAsia="黑体" w:cs="黑体"/>
          <w:b w:val="0"/>
          <w:kern w:val="2"/>
          <w:sz w:val="32"/>
          <w:szCs w:val="32"/>
          <w:lang w:val="en-US" w:eastAsia="zh-CN" w:bidi="ar-SA"/>
        </w:rPr>
      </w:pPr>
      <w:r>
        <w:rPr>
          <w:rFonts w:hint="eastAsia" w:ascii="黑体" w:hAnsi="黑体" w:eastAsia="黑体" w:cs="黑体"/>
          <w:b w:val="0"/>
          <w:kern w:val="2"/>
          <w:sz w:val="32"/>
          <w:szCs w:val="32"/>
          <w:lang w:val="en-US" w:eastAsia="zh-CN" w:bidi="ar-SA"/>
        </w:rPr>
        <w:t>二、项目资金来源和招投标方式</w:t>
      </w:r>
    </w:p>
    <w:p>
      <w:pPr>
        <w:keepNext w:val="0"/>
        <w:keepLines w:val="0"/>
        <w:pageBreakBefore w:val="0"/>
        <w:widowControl w:val="0"/>
        <w:kinsoku/>
        <w:wordWrap/>
        <w:overflowPunct/>
        <w:topLinePunct w:val="0"/>
        <w:autoSpaceDE/>
        <w:autoSpaceDN/>
        <w:bidi w:val="0"/>
        <w:adjustRightInd/>
        <w:snapToGrid w:val="0"/>
        <w:spacing w:line="50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项目总投资</w:t>
      </w:r>
      <w:r>
        <w:rPr>
          <w:rFonts w:hint="eastAsia" w:ascii="仿宋" w:hAnsi="仿宋" w:eastAsia="仿宋" w:cs="仿宋"/>
          <w:sz w:val="32"/>
          <w:szCs w:val="32"/>
          <w:lang w:val="en-US" w:eastAsia="zh-CN"/>
        </w:rPr>
        <w:t>107.9</w:t>
      </w:r>
      <w:r>
        <w:rPr>
          <w:rFonts w:hint="eastAsia" w:ascii="仿宋" w:hAnsi="仿宋" w:eastAsia="仿宋" w:cs="仿宋"/>
          <w:sz w:val="32"/>
          <w:szCs w:val="32"/>
          <w:lang w:eastAsia="zh-CN"/>
        </w:rPr>
        <w:t>万元，全部为省级财政衔接补助资金。Ⅰ标段慕仪镇农田灌溉机井维修低压用电工程招标方式为单一来源采购；Ⅱ标段慕仪镇农田灌溉机井维修</w:t>
      </w:r>
      <w:bookmarkStart w:id="0" w:name="_GoBack"/>
      <w:bookmarkEnd w:id="0"/>
      <w:r>
        <w:rPr>
          <w:rFonts w:hint="eastAsia" w:ascii="仿宋" w:hAnsi="仿宋" w:eastAsia="仿宋" w:cs="仿宋"/>
          <w:sz w:val="32"/>
          <w:szCs w:val="32"/>
          <w:lang w:eastAsia="zh-CN"/>
        </w:rPr>
        <w:t>水利设施配套工程招标方式为竞争性磋商。</w:t>
      </w:r>
    </w:p>
    <w:p>
      <w:pPr>
        <w:keepNext w:val="0"/>
        <w:keepLines w:val="0"/>
        <w:pageBreakBefore w:val="0"/>
        <w:widowControl w:val="0"/>
        <w:kinsoku/>
        <w:wordWrap/>
        <w:overflowPunct/>
        <w:topLinePunct w:val="0"/>
        <w:autoSpaceDE/>
        <w:autoSpaceDN/>
        <w:bidi w:val="0"/>
        <w:adjustRightInd/>
        <w:snapToGrid w:val="0"/>
        <w:spacing w:line="500" w:lineRule="exact"/>
        <w:ind w:firstLine="640" w:firstLineChars="200"/>
        <w:jc w:val="both"/>
        <w:textAlignment w:val="auto"/>
        <w:rPr>
          <w:rFonts w:hint="eastAsia" w:ascii="黑体" w:hAnsi="黑体" w:eastAsia="黑体" w:cs="黑体"/>
          <w:b w:val="0"/>
          <w:kern w:val="2"/>
          <w:sz w:val="32"/>
          <w:szCs w:val="32"/>
          <w:lang w:val="en-US" w:eastAsia="zh-CN" w:bidi="ar-SA"/>
        </w:rPr>
      </w:pPr>
      <w:r>
        <w:rPr>
          <w:rFonts w:hint="eastAsia" w:ascii="黑体" w:hAnsi="黑体" w:eastAsia="黑体" w:cs="黑体"/>
          <w:b w:val="0"/>
          <w:kern w:val="2"/>
          <w:sz w:val="32"/>
          <w:szCs w:val="32"/>
          <w:lang w:val="en-US" w:eastAsia="zh-CN" w:bidi="ar-SA"/>
        </w:rPr>
        <w:t>三、项目绩效目标</w:t>
      </w:r>
    </w:p>
    <w:p>
      <w:pPr>
        <w:keepNext w:val="0"/>
        <w:keepLines w:val="0"/>
        <w:pageBreakBefore w:val="0"/>
        <w:widowControl w:val="0"/>
        <w:kinsoku/>
        <w:wordWrap/>
        <w:overflowPunct/>
        <w:topLinePunct w:val="0"/>
        <w:autoSpaceDE/>
        <w:autoSpaceDN/>
        <w:bidi w:val="0"/>
        <w:adjustRightInd/>
        <w:snapToGrid w:val="0"/>
        <w:spacing w:line="500" w:lineRule="exact"/>
        <w:ind w:firstLine="640" w:firstLineChars="200"/>
        <w:jc w:val="both"/>
        <w:textAlignment w:val="auto"/>
        <w:rPr>
          <w:rFonts w:hint="eastAsia" w:ascii="仿宋_GB2312" w:hAnsi="Calibri" w:eastAsia="仿宋_GB2312"/>
          <w:color w:val="auto"/>
          <w:sz w:val="32"/>
          <w:szCs w:val="32"/>
          <w:highlight w:val="none"/>
          <w:lang w:eastAsia="zh-CN"/>
        </w:rPr>
      </w:pPr>
      <w:r>
        <w:rPr>
          <w:rFonts w:hint="eastAsia" w:ascii="仿宋_GB2312" w:eastAsia="仿宋_GB2312"/>
          <w:color w:val="auto"/>
          <w:sz w:val="32"/>
          <w:szCs w:val="32"/>
          <w:lang w:eastAsia="zh-CN"/>
        </w:rPr>
        <w:t>项目建成后，将会极大改善</w:t>
      </w:r>
      <w:r>
        <w:rPr>
          <w:rFonts w:hint="eastAsia" w:ascii="仿宋_GB2312" w:hAnsi="Calibri" w:eastAsia="仿宋_GB2312"/>
          <w:color w:val="auto"/>
          <w:sz w:val="32"/>
          <w:szCs w:val="32"/>
          <w:lang w:eastAsia="zh-CN"/>
        </w:rPr>
        <w:t>七个村</w:t>
      </w:r>
      <w:r>
        <w:rPr>
          <w:rFonts w:hint="eastAsia" w:ascii="仿宋_GB2312" w:hAnsi="Calibri" w:eastAsia="仿宋_GB2312"/>
          <w:color w:val="auto"/>
          <w:sz w:val="32"/>
          <w:szCs w:val="32"/>
          <w:highlight w:val="none"/>
          <w:lang w:val="en-US" w:eastAsia="zh-CN"/>
        </w:rPr>
        <w:t>1.1万</w:t>
      </w:r>
      <w:r>
        <w:rPr>
          <w:rFonts w:hint="eastAsia" w:ascii="仿宋_GB2312" w:hAnsi="Calibri" w:eastAsia="仿宋_GB2312"/>
          <w:color w:val="auto"/>
          <w:sz w:val="32"/>
          <w:szCs w:val="32"/>
          <w:highlight w:val="none"/>
        </w:rPr>
        <w:t>亩</w:t>
      </w:r>
      <w:r>
        <w:rPr>
          <w:rFonts w:hint="eastAsia" w:ascii="仿宋_GB2312" w:hAnsi="Calibri" w:eastAsia="仿宋_GB2312"/>
          <w:color w:val="auto"/>
          <w:sz w:val="32"/>
          <w:szCs w:val="32"/>
          <w:highlight w:val="none"/>
          <w:lang w:eastAsia="zh-CN"/>
        </w:rPr>
        <w:t>耕地的灌溉条件，</w:t>
      </w:r>
      <w:r>
        <w:rPr>
          <w:rFonts w:hint="eastAsia" w:ascii="仿宋_GB2312" w:hAnsi="Calibri" w:eastAsia="仿宋_GB2312"/>
          <w:color w:val="auto"/>
          <w:sz w:val="32"/>
          <w:szCs w:val="32"/>
          <w:lang w:eastAsia="zh-CN"/>
        </w:rPr>
        <w:t>提高耕地</w:t>
      </w:r>
      <w:r>
        <w:rPr>
          <w:rFonts w:hint="eastAsia" w:ascii="仿宋_GB2312" w:hAnsi="Calibri" w:eastAsia="仿宋_GB2312"/>
          <w:color w:val="auto"/>
          <w:sz w:val="32"/>
          <w:szCs w:val="32"/>
        </w:rPr>
        <w:t>基础设施</w:t>
      </w:r>
      <w:r>
        <w:rPr>
          <w:rFonts w:hint="eastAsia" w:ascii="仿宋_GB2312" w:hAnsi="Calibri" w:eastAsia="仿宋_GB2312"/>
          <w:color w:val="auto"/>
          <w:sz w:val="32"/>
          <w:szCs w:val="32"/>
          <w:lang w:eastAsia="zh-CN"/>
        </w:rPr>
        <w:t>综合水平</w:t>
      </w:r>
      <w:r>
        <w:rPr>
          <w:rFonts w:hint="eastAsia" w:ascii="仿宋_GB2312" w:hAnsi="Calibri" w:eastAsia="仿宋_GB2312"/>
          <w:color w:val="auto"/>
          <w:sz w:val="32"/>
          <w:szCs w:val="32"/>
        </w:rPr>
        <w:t>，</w:t>
      </w:r>
      <w:r>
        <w:rPr>
          <w:rFonts w:hint="eastAsia" w:ascii="仿宋_GB2312" w:hAnsi="仿宋_GB2312" w:eastAsia="仿宋_GB2312"/>
          <w:color w:val="auto"/>
          <w:sz w:val="32"/>
          <w:szCs w:val="32"/>
          <w:lang w:val="en-US" w:eastAsia="zh-CN"/>
        </w:rPr>
        <w:t>增强农作物应对高温干旱天气的能力，提高农户种植秋粮的积极性，为稳定全年粮食产量，增加秋粮播种面积将发挥巨大作用。</w:t>
      </w:r>
      <w:r>
        <w:rPr>
          <w:rFonts w:hint="eastAsia" w:ascii="仿宋_GB2312" w:hAnsi="Calibri" w:eastAsia="仿宋_GB2312"/>
          <w:color w:val="auto"/>
          <w:sz w:val="32"/>
          <w:szCs w:val="32"/>
          <w:highlight w:val="none"/>
          <w:lang w:eastAsia="zh-CN"/>
        </w:rPr>
        <w:t>带动农户和脱贫户</w:t>
      </w:r>
      <w:r>
        <w:rPr>
          <w:rFonts w:hint="eastAsia" w:ascii="仿宋_GB2312" w:hAnsi="Calibri" w:eastAsia="仿宋_GB2312"/>
          <w:color w:val="auto"/>
          <w:sz w:val="32"/>
          <w:szCs w:val="32"/>
          <w:highlight w:val="none"/>
          <w:lang w:val="en-US" w:eastAsia="zh-CN"/>
        </w:rPr>
        <w:t>1080户，9100</w:t>
      </w:r>
      <w:r>
        <w:rPr>
          <w:rFonts w:hint="eastAsia" w:ascii="仿宋_GB2312" w:hAnsi="Calibri" w:eastAsia="仿宋_GB2312"/>
          <w:color w:val="auto"/>
          <w:sz w:val="32"/>
          <w:szCs w:val="32"/>
          <w:highlight w:val="none"/>
        </w:rPr>
        <w:t>人</w:t>
      </w:r>
      <w:r>
        <w:rPr>
          <w:rFonts w:hint="eastAsia" w:ascii="仿宋_GB2312" w:hAnsi="Calibri"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500" w:lineRule="exact"/>
        <w:ind w:firstLine="640" w:firstLineChars="200"/>
        <w:jc w:val="both"/>
        <w:textAlignment w:val="auto"/>
        <w:rPr>
          <w:rFonts w:hint="eastAsia" w:ascii="黑体" w:hAnsi="黑体" w:eastAsia="黑体" w:cs="黑体"/>
          <w:b w:val="0"/>
          <w:kern w:val="2"/>
          <w:sz w:val="32"/>
          <w:szCs w:val="32"/>
          <w:lang w:val="en-US" w:eastAsia="zh-CN" w:bidi="ar-SA"/>
        </w:rPr>
      </w:pPr>
      <w:r>
        <w:rPr>
          <w:rFonts w:hint="eastAsia" w:ascii="黑体" w:hAnsi="黑体" w:eastAsia="黑体" w:cs="黑体"/>
          <w:b w:val="0"/>
          <w:kern w:val="2"/>
          <w:sz w:val="32"/>
          <w:szCs w:val="32"/>
          <w:lang w:val="en-US" w:eastAsia="zh-CN" w:bidi="ar-SA"/>
        </w:rPr>
        <w:t>四、项目实施要求</w:t>
      </w:r>
    </w:p>
    <w:p>
      <w:pPr>
        <w:keepNext w:val="0"/>
        <w:keepLines w:val="0"/>
        <w:pageBreakBefore w:val="0"/>
        <w:widowControl w:val="0"/>
        <w:kinsoku/>
        <w:wordWrap/>
        <w:overflowPunct/>
        <w:topLinePunct w:val="0"/>
        <w:autoSpaceDE/>
        <w:autoSpaceDN/>
        <w:bidi w:val="0"/>
        <w:adjustRightInd/>
        <w:snapToGrid w:val="0"/>
        <w:spacing w:line="500" w:lineRule="exact"/>
        <w:ind w:firstLine="640" w:firstLineChars="200"/>
        <w:jc w:val="both"/>
        <w:textAlignment w:val="auto"/>
        <w:rPr>
          <w:rFonts w:hint="eastAsia" w:ascii="仿宋" w:hAnsi="仿宋" w:eastAsia="仿宋" w:cs="仿宋"/>
          <w:sz w:val="32"/>
          <w:szCs w:val="32"/>
          <w:lang w:eastAsia="zh-CN"/>
        </w:rPr>
      </w:pPr>
      <w:r>
        <w:rPr>
          <w:rFonts w:hint="eastAsia" w:ascii="楷体" w:hAnsi="楷体" w:eastAsia="楷体" w:cs="楷体"/>
          <w:sz w:val="32"/>
          <w:szCs w:val="32"/>
          <w:lang w:eastAsia="zh-CN"/>
        </w:rPr>
        <w:t>1.夯实责任，加强项目实施管理。</w:t>
      </w:r>
      <w:r>
        <w:rPr>
          <w:rFonts w:hint="eastAsia" w:ascii="仿宋" w:hAnsi="仿宋" w:eastAsia="仿宋" w:cs="仿宋"/>
          <w:sz w:val="32"/>
          <w:szCs w:val="32"/>
          <w:lang w:eastAsia="zh-CN"/>
        </w:rPr>
        <w:t>项目镇街要切实落实项目实施主体责任，按照省市区财政衔接资金项目管理办法及实施要求，严格落实项目招投标、公示公告等制度，在施工、监理、资料整理、验收审计等全过程实行规范化管理制度。</w:t>
      </w:r>
    </w:p>
    <w:p>
      <w:pPr>
        <w:keepNext w:val="0"/>
        <w:keepLines w:val="0"/>
        <w:pageBreakBefore w:val="0"/>
        <w:widowControl w:val="0"/>
        <w:kinsoku/>
        <w:wordWrap/>
        <w:overflowPunct/>
        <w:topLinePunct w:val="0"/>
        <w:autoSpaceDE/>
        <w:autoSpaceDN/>
        <w:bidi w:val="0"/>
        <w:adjustRightInd/>
        <w:snapToGrid w:val="0"/>
        <w:spacing w:line="500" w:lineRule="exact"/>
        <w:ind w:firstLine="640" w:firstLineChars="200"/>
        <w:jc w:val="both"/>
        <w:textAlignment w:val="auto"/>
        <w:rPr>
          <w:rFonts w:hint="eastAsia" w:ascii="仿宋" w:hAnsi="仿宋" w:eastAsia="仿宋" w:cs="仿宋"/>
          <w:sz w:val="32"/>
          <w:szCs w:val="32"/>
          <w:lang w:eastAsia="zh-CN"/>
        </w:rPr>
      </w:pPr>
      <w:r>
        <w:rPr>
          <w:rFonts w:hint="eastAsia" w:ascii="楷体" w:hAnsi="楷体" w:eastAsia="楷体" w:cs="楷体"/>
          <w:sz w:val="32"/>
          <w:szCs w:val="32"/>
          <w:lang w:eastAsia="zh-CN"/>
        </w:rPr>
        <w:t>2.规范管理，管好用好项目资金。</w:t>
      </w:r>
      <w:r>
        <w:rPr>
          <w:rFonts w:hint="eastAsia" w:ascii="仿宋" w:hAnsi="仿宋" w:eastAsia="仿宋" w:cs="仿宋"/>
          <w:sz w:val="32"/>
          <w:szCs w:val="32"/>
          <w:lang w:eastAsia="zh-CN"/>
        </w:rPr>
        <w:t>按照区财政局、区乡村振兴局等六部门《关于印发&lt;宝鸡市陈仓区财政衔接推进乡村振兴补助资金管理办法&gt;的通知》（宝陈财农字〔2021〕38号）要求，加强项目资金管理，落实资金报账制度，规范报账审核程序。加强项目绩效目标管理，切实做好项目绩效目标事前申报、事中监控、事后评价等工作，确保充分发挥财政衔接资金作用。</w:t>
      </w:r>
    </w:p>
    <w:p>
      <w:pPr>
        <w:keepNext w:val="0"/>
        <w:keepLines w:val="0"/>
        <w:pageBreakBefore w:val="0"/>
        <w:widowControl w:val="0"/>
        <w:kinsoku/>
        <w:wordWrap/>
        <w:overflowPunct/>
        <w:topLinePunct w:val="0"/>
        <w:autoSpaceDE/>
        <w:autoSpaceDN/>
        <w:bidi w:val="0"/>
        <w:adjustRightInd/>
        <w:snapToGrid w:val="0"/>
        <w:spacing w:line="500" w:lineRule="exact"/>
        <w:ind w:firstLine="640" w:firstLineChars="200"/>
        <w:jc w:val="both"/>
        <w:textAlignment w:val="auto"/>
        <w:rPr>
          <w:rFonts w:hint="eastAsia" w:ascii="仿宋" w:hAnsi="仿宋" w:eastAsia="仿宋" w:cs="仿宋"/>
          <w:sz w:val="32"/>
          <w:szCs w:val="32"/>
          <w:lang w:eastAsia="zh-CN"/>
        </w:rPr>
      </w:pPr>
      <w:r>
        <w:rPr>
          <w:rFonts w:hint="eastAsia" w:ascii="楷体" w:hAnsi="楷体" w:eastAsia="楷体" w:cs="楷体"/>
          <w:sz w:val="32"/>
          <w:szCs w:val="32"/>
          <w:lang w:eastAsia="zh-CN"/>
        </w:rPr>
        <w:t>3.加强协调，确保按期完成项目建设任务。</w:t>
      </w:r>
      <w:r>
        <w:rPr>
          <w:rFonts w:hint="eastAsia" w:ascii="仿宋" w:hAnsi="仿宋" w:eastAsia="仿宋" w:cs="仿宋"/>
          <w:sz w:val="32"/>
          <w:szCs w:val="32"/>
          <w:lang w:eastAsia="zh-CN"/>
        </w:rPr>
        <w:t xml:space="preserve">项目镇街要加强实施组织协调，充分调动设计、施工、监理及项目村积极性，为项目落实施工提供有力保障，确保2022年11月底前完成项目建设任务、资金兑付和报账工作，接受上级检查验收。同时，提早动手做好项目资产确权移交和后期运维管理等工作。                </w:t>
      </w:r>
    </w:p>
    <w:p>
      <w:pPr>
        <w:keepNext w:val="0"/>
        <w:keepLines w:val="0"/>
        <w:pageBreakBefore w:val="0"/>
        <w:widowControl w:val="0"/>
        <w:kinsoku/>
        <w:wordWrap/>
        <w:overflowPunct/>
        <w:topLinePunct w:val="0"/>
        <w:autoSpaceDE/>
        <w:autoSpaceDN/>
        <w:bidi w:val="0"/>
        <w:adjustRightInd/>
        <w:snapToGrid w:val="0"/>
        <w:spacing w:line="500" w:lineRule="exact"/>
        <w:ind w:firstLine="0" w:firstLineChars="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 xml:space="preserve">     </w:t>
      </w:r>
    </w:p>
    <w:p>
      <w:pPr>
        <w:pStyle w:val="2"/>
        <w:rPr>
          <w:rFonts w:hint="eastAsia"/>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val="0"/>
        <w:spacing w:line="500" w:lineRule="exact"/>
        <w:ind w:firstLine="3840" w:firstLineChars="1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宝鸡市陈仓区农业</w:t>
      </w:r>
      <w:r>
        <w:rPr>
          <w:rFonts w:hint="eastAsia" w:ascii="仿宋" w:hAnsi="仿宋" w:eastAsia="仿宋" w:cs="仿宋"/>
          <w:sz w:val="32"/>
          <w:szCs w:val="32"/>
          <w:lang w:eastAsia="zh-CN"/>
        </w:rPr>
        <w:t>农村局</w:t>
      </w:r>
    </w:p>
    <w:p>
      <w:pPr>
        <w:keepNext w:val="0"/>
        <w:keepLines w:val="0"/>
        <w:pageBreakBefore w:val="0"/>
        <w:widowControl w:val="0"/>
        <w:kinsoku/>
        <w:wordWrap/>
        <w:overflowPunct/>
        <w:topLinePunct w:val="0"/>
        <w:autoSpaceDE/>
        <w:autoSpaceDN/>
        <w:bidi w:val="0"/>
        <w:adjustRightInd/>
        <w:snapToGrid w:val="0"/>
        <w:spacing w:line="500" w:lineRule="exact"/>
        <w:ind w:firstLine="4480" w:firstLineChars="14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11日</w:t>
      </w:r>
    </w:p>
    <w:p>
      <w:pPr>
        <w:pStyle w:val="2"/>
        <w:keepNext w:val="0"/>
        <w:keepLines w:val="0"/>
        <w:pageBreakBefore w:val="0"/>
        <w:widowControl w:val="0"/>
        <w:kinsoku/>
        <w:wordWrap/>
        <w:overflowPunct/>
        <w:topLinePunct w:val="0"/>
        <w:autoSpaceDE/>
        <w:autoSpaceDN/>
        <w:bidi w:val="0"/>
        <w:adjustRightInd/>
        <w:spacing w:line="500" w:lineRule="exact"/>
        <w:textAlignment w:val="auto"/>
        <w:rPr>
          <w:rFonts w:hint="eastAsia"/>
        </w:rPr>
      </w:pPr>
    </w:p>
    <w:p>
      <w:pPr>
        <w:pStyle w:val="2"/>
        <w:keepNext w:val="0"/>
        <w:keepLines w:val="0"/>
        <w:pageBreakBefore w:val="0"/>
        <w:widowControl w:val="0"/>
        <w:kinsoku/>
        <w:wordWrap/>
        <w:overflowPunct/>
        <w:topLinePunct w:val="0"/>
        <w:autoSpaceDE/>
        <w:autoSpaceDN/>
        <w:bidi w:val="0"/>
        <w:adjustRightInd/>
        <w:spacing w:line="500" w:lineRule="exact"/>
        <w:textAlignment w:val="auto"/>
        <w:rPr>
          <w:rFonts w:hint="eastAsia"/>
        </w:rPr>
      </w:pPr>
    </w:p>
    <w:p>
      <w:pPr>
        <w:pStyle w:val="3"/>
        <w:keepNext w:val="0"/>
        <w:keepLines w:val="0"/>
        <w:pageBreakBefore w:val="0"/>
        <w:widowControl w:val="0"/>
        <w:kinsoku/>
        <w:wordWrap/>
        <w:overflowPunct/>
        <w:topLinePunct w:val="0"/>
        <w:autoSpaceDE/>
        <w:autoSpaceDN/>
        <w:bidi w:val="0"/>
        <w:adjustRightInd/>
        <w:spacing w:line="500" w:lineRule="exact"/>
        <w:textAlignment w:val="auto"/>
        <w:rPr>
          <w:rFonts w:hint="eastAsia" w:ascii="仿宋" w:hAnsi="仿宋" w:eastAsia="仿宋" w:cs="仿宋"/>
          <w:sz w:val="32"/>
          <w:szCs w:val="32"/>
        </w:rPr>
      </w:pPr>
    </w:p>
    <w:p>
      <w:pPr>
        <w:keepNext w:val="0"/>
        <w:keepLines w:val="0"/>
        <w:pageBreakBefore w:val="0"/>
        <w:widowControl w:val="0"/>
        <w:pBdr>
          <w:top w:val="single" w:color="auto" w:sz="6" w:space="1"/>
          <w:bottom w:val="single" w:color="auto" w:sz="6" w:space="1"/>
        </w:pBdr>
        <w:kinsoku/>
        <w:wordWrap/>
        <w:overflowPunct/>
        <w:topLinePunct w:val="0"/>
        <w:autoSpaceDE/>
        <w:autoSpaceDN/>
        <w:bidi w:val="0"/>
        <w:adjustRightInd/>
        <w:spacing w:line="500" w:lineRule="exact"/>
        <w:ind w:firstLine="140" w:firstLineChars="50"/>
        <w:textAlignment w:val="auto"/>
        <w:rPr>
          <w:rFonts w:hint="eastAsia" w:ascii="仿宋" w:hAnsi="仿宋" w:eastAsia="仿宋"/>
          <w:sz w:val="28"/>
          <w:szCs w:val="28"/>
        </w:rPr>
      </w:pPr>
      <w:r>
        <w:rPr>
          <w:rFonts w:hint="eastAsia" w:ascii="仿宋" w:hAnsi="仿宋" w:eastAsia="仿宋"/>
          <w:sz w:val="28"/>
          <w:szCs w:val="28"/>
        </w:rPr>
        <w:t>抄</w:t>
      </w:r>
      <w:r>
        <w:rPr>
          <w:rFonts w:hint="eastAsia" w:ascii="仿宋" w:hAnsi="仿宋" w:eastAsia="仿宋"/>
          <w:sz w:val="28"/>
          <w:szCs w:val="28"/>
          <w:lang w:val="en-US" w:eastAsia="zh-CN"/>
        </w:rPr>
        <w:t xml:space="preserve"> </w:t>
      </w:r>
      <w:r>
        <w:rPr>
          <w:rFonts w:hint="eastAsia" w:ascii="仿宋" w:hAnsi="仿宋" w:eastAsia="仿宋"/>
          <w:sz w:val="28"/>
          <w:szCs w:val="28"/>
        </w:rPr>
        <w:t>送：</w:t>
      </w:r>
      <w:r>
        <w:rPr>
          <w:rFonts w:hint="eastAsia" w:ascii="仿宋" w:hAnsi="仿宋" w:eastAsia="仿宋"/>
          <w:sz w:val="28"/>
          <w:szCs w:val="28"/>
          <w:lang w:eastAsia="zh-CN"/>
        </w:rPr>
        <w:t>局各领导</w:t>
      </w:r>
      <w:r>
        <w:rPr>
          <w:rFonts w:hint="eastAsia" w:ascii="仿宋" w:hAnsi="仿宋" w:eastAsia="仿宋"/>
          <w:sz w:val="28"/>
          <w:szCs w:val="28"/>
        </w:rPr>
        <w:t>。</w:t>
      </w:r>
    </w:p>
    <w:p>
      <w:pPr>
        <w:keepNext w:val="0"/>
        <w:keepLines w:val="0"/>
        <w:pageBreakBefore w:val="0"/>
        <w:widowControl w:val="0"/>
        <w:pBdr>
          <w:bottom w:val="single" w:color="auto" w:sz="6" w:space="1"/>
          <w:between w:val="single" w:color="auto" w:sz="6" w:space="1"/>
        </w:pBdr>
        <w:kinsoku/>
        <w:wordWrap/>
        <w:overflowPunct/>
        <w:topLinePunct w:val="0"/>
        <w:autoSpaceDE/>
        <w:autoSpaceDN/>
        <w:bidi w:val="0"/>
        <w:adjustRightInd/>
        <w:spacing w:line="500" w:lineRule="exact"/>
        <w:ind w:firstLine="140" w:firstLineChars="50"/>
        <w:textAlignment w:val="auto"/>
        <w:rPr>
          <w:rFonts w:hint="eastAsia" w:ascii="仿宋" w:hAnsi="仿宋" w:eastAsia="仿宋"/>
          <w:sz w:val="28"/>
          <w:szCs w:val="28"/>
          <w:lang w:val="zh-TW"/>
        </w:rPr>
      </w:pPr>
      <w:r>
        <w:rPr>
          <w:rFonts w:hint="eastAsia" w:ascii="仿宋" w:hAnsi="仿宋" w:eastAsia="仿宋"/>
          <w:sz w:val="28"/>
          <w:szCs w:val="28"/>
        </w:rPr>
        <w:t xml:space="preserve">宝鸡市陈仓区农业农村局                </w:t>
      </w:r>
      <w:r>
        <w:rPr>
          <w:rFonts w:hint="eastAsia" w:ascii="仿宋" w:hAnsi="仿宋" w:eastAsia="仿宋"/>
          <w:sz w:val="28"/>
          <w:szCs w:val="28"/>
          <w:lang w:val="en-US" w:eastAsia="zh-CN"/>
        </w:rPr>
        <w:t xml:space="preserve">     </w:t>
      </w:r>
      <w:r>
        <w:rPr>
          <w:rFonts w:hint="eastAsia" w:ascii="仿宋" w:hAnsi="仿宋" w:eastAsia="仿宋"/>
          <w:sz w:val="28"/>
          <w:szCs w:val="28"/>
        </w:rPr>
        <w:t>202</w:t>
      </w:r>
      <w:r>
        <w:rPr>
          <w:rFonts w:hint="eastAsia" w:ascii="仿宋" w:hAnsi="仿宋" w:eastAsia="仿宋"/>
          <w:sz w:val="28"/>
          <w:szCs w:val="28"/>
          <w:lang w:val="en-US" w:eastAsia="zh-CN"/>
        </w:rPr>
        <w:t>2</w:t>
      </w:r>
      <w:r>
        <w:rPr>
          <w:rFonts w:hint="eastAsia" w:ascii="仿宋" w:hAnsi="仿宋" w:eastAsia="仿宋"/>
          <w:sz w:val="28"/>
          <w:szCs w:val="28"/>
        </w:rPr>
        <w:t>年</w:t>
      </w:r>
      <w:r>
        <w:rPr>
          <w:rFonts w:hint="eastAsia" w:ascii="仿宋" w:hAnsi="仿宋" w:eastAsia="仿宋"/>
          <w:sz w:val="28"/>
          <w:szCs w:val="28"/>
          <w:lang w:val="en-US" w:eastAsia="zh-CN"/>
        </w:rPr>
        <w:t>5</w:t>
      </w:r>
      <w:r>
        <w:rPr>
          <w:rFonts w:hint="eastAsia" w:ascii="仿宋" w:hAnsi="仿宋" w:eastAsia="仿宋"/>
          <w:sz w:val="28"/>
          <w:szCs w:val="28"/>
        </w:rPr>
        <w:t>月</w:t>
      </w:r>
      <w:r>
        <w:rPr>
          <w:rFonts w:hint="eastAsia" w:ascii="仿宋" w:hAnsi="仿宋" w:eastAsia="仿宋"/>
          <w:sz w:val="28"/>
          <w:szCs w:val="28"/>
          <w:lang w:val="en-US" w:eastAsia="zh-CN"/>
        </w:rPr>
        <w:t>11</w:t>
      </w:r>
      <w:r>
        <w:rPr>
          <w:rFonts w:hint="eastAsia" w:ascii="仿宋" w:hAnsi="仿宋" w:eastAsia="仿宋"/>
          <w:sz w:val="28"/>
          <w:szCs w:val="28"/>
        </w:rPr>
        <w:t>日印发</w:t>
      </w:r>
    </w:p>
    <w:sectPr>
      <w:footerReference r:id="rId5" w:type="default"/>
      <w:pgSz w:w="11906" w:h="16838"/>
      <w:pgMar w:top="1440" w:right="1463" w:bottom="1440" w:left="1689"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kOGU4ZTBlNjNlYzNhY2M3NDBiNTA3MDJkMTRkN2YifQ=="/>
  </w:docVars>
  <w:rsids>
    <w:rsidRoot w:val="00000000"/>
    <w:rsid w:val="015964E2"/>
    <w:rsid w:val="01B7106F"/>
    <w:rsid w:val="025020A0"/>
    <w:rsid w:val="041939F1"/>
    <w:rsid w:val="04BF1E96"/>
    <w:rsid w:val="05466DC0"/>
    <w:rsid w:val="056412FD"/>
    <w:rsid w:val="089C056F"/>
    <w:rsid w:val="0B427524"/>
    <w:rsid w:val="0BBA61F3"/>
    <w:rsid w:val="0C882A07"/>
    <w:rsid w:val="0C935806"/>
    <w:rsid w:val="0D9151F5"/>
    <w:rsid w:val="0EE708D5"/>
    <w:rsid w:val="0F0A795A"/>
    <w:rsid w:val="11FD65E5"/>
    <w:rsid w:val="12E85031"/>
    <w:rsid w:val="141227CE"/>
    <w:rsid w:val="16C775D8"/>
    <w:rsid w:val="17577BA6"/>
    <w:rsid w:val="17790076"/>
    <w:rsid w:val="19081158"/>
    <w:rsid w:val="19417FD1"/>
    <w:rsid w:val="19815045"/>
    <w:rsid w:val="1ACD68AD"/>
    <w:rsid w:val="1C492C4B"/>
    <w:rsid w:val="1EA47B74"/>
    <w:rsid w:val="1F0C0750"/>
    <w:rsid w:val="1F307B53"/>
    <w:rsid w:val="1F443106"/>
    <w:rsid w:val="1F536EA5"/>
    <w:rsid w:val="1FB51BA8"/>
    <w:rsid w:val="1FDE0E64"/>
    <w:rsid w:val="20406AE2"/>
    <w:rsid w:val="2060790C"/>
    <w:rsid w:val="20B935BA"/>
    <w:rsid w:val="20E47DFA"/>
    <w:rsid w:val="211C634F"/>
    <w:rsid w:val="212E3875"/>
    <w:rsid w:val="21F221CD"/>
    <w:rsid w:val="239D60CD"/>
    <w:rsid w:val="23EE1A7D"/>
    <w:rsid w:val="240F5891"/>
    <w:rsid w:val="249F6004"/>
    <w:rsid w:val="24DE4884"/>
    <w:rsid w:val="25781413"/>
    <w:rsid w:val="27827809"/>
    <w:rsid w:val="2A4A3B74"/>
    <w:rsid w:val="2A9E191C"/>
    <w:rsid w:val="2D8655FD"/>
    <w:rsid w:val="2E993178"/>
    <w:rsid w:val="2EAA2F1B"/>
    <w:rsid w:val="2F236894"/>
    <w:rsid w:val="2F920BC1"/>
    <w:rsid w:val="3002590A"/>
    <w:rsid w:val="31487804"/>
    <w:rsid w:val="32837FE3"/>
    <w:rsid w:val="32CC03D3"/>
    <w:rsid w:val="338318B1"/>
    <w:rsid w:val="34762254"/>
    <w:rsid w:val="36FE3E72"/>
    <w:rsid w:val="37773AD4"/>
    <w:rsid w:val="390F213D"/>
    <w:rsid w:val="398B4DB2"/>
    <w:rsid w:val="39AD1B7B"/>
    <w:rsid w:val="3A485400"/>
    <w:rsid w:val="3A9554CE"/>
    <w:rsid w:val="3A984D80"/>
    <w:rsid w:val="3BED577A"/>
    <w:rsid w:val="3E7A03FD"/>
    <w:rsid w:val="3EC34B32"/>
    <w:rsid w:val="3F6D1979"/>
    <w:rsid w:val="3F8101D4"/>
    <w:rsid w:val="40AE2759"/>
    <w:rsid w:val="416E4704"/>
    <w:rsid w:val="41711E74"/>
    <w:rsid w:val="41B97640"/>
    <w:rsid w:val="42B75819"/>
    <w:rsid w:val="469D4D26"/>
    <w:rsid w:val="4756268B"/>
    <w:rsid w:val="4A02471E"/>
    <w:rsid w:val="4C78563A"/>
    <w:rsid w:val="4CF60FAF"/>
    <w:rsid w:val="4CFA148B"/>
    <w:rsid w:val="4F976B78"/>
    <w:rsid w:val="52082081"/>
    <w:rsid w:val="5523404F"/>
    <w:rsid w:val="566A6423"/>
    <w:rsid w:val="56A416CE"/>
    <w:rsid w:val="57D50EA4"/>
    <w:rsid w:val="58262DCD"/>
    <w:rsid w:val="58DC348C"/>
    <w:rsid w:val="5A98175F"/>
    <w:rsid w:val="5A986C2E"/>
    <w:rsid w:val="5BCA4C2E"/>
    <w:rsid w:val="5BEF4AAE"/>
    <w:rsid w:val="5C1F1A87"/>
    <w:rsid w:val="5CAD7D03"/>
    <w:rsid w:val="5DDE09B4"/>
    <w:rsid w:val="5FA21686"/>
    <w:rsid w:val="5FFE7A68"/>
    <w:rsid w:val="609A4358"/>
    <w:rsid w:val="61096C1C"/>
    <w:rsid w:val="61784244"/>
    <w:rsid w:val="61BE4076"/>
    <w:rsid w:val="62226B6A"/>
    <w:rsid w:val="62D95EAF"/>
    <w:rsid w:val="642632E3"/>
    <w:rsid w:val="64FE654E"/>
    <w:rsid w:val="65344183"/>
    <w:rsid w:val="667C054B"/>
    <w:rsid w:val="66F57B61"/>
    <w:rsid w:val="688F756D"/>
    <w:rsid w:val="69031739"/>
    <w:rsid w:val="69615E07"/>
    <w:rsid w:val="697932C0"/>
    <w:rsid w:val="6B1A10E9"/>
    <w:rsid w:val="6B42458A"/>
    <w:rsid w:val="6BB46DCF"/>
    <w:rsid w:val="6E945EF0"/>
    <w:rsid w:val="6EE17098"/>
    <w:rsid w:val="6F723690"/>
    <w:rsid w:val="729F57FE"/>
    <w:rsid w:val="748B2A70"/>
    <w:rsid w:val="74D97A75"/>
    <w:rsid w:val="79F45444"/>
    <w:rsid w:val="7A2C01C1"/>
    <w:rsid w:val="7A703437"/>
    <w:rsid w:val="7CBB698C"/>
    <w:rsid w:val="7D0E6CF9"/>
    <w:rsid w:val="7EAC5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3">
    <w:name w:val="Body Text"/>
    <w:basedOn w:val="1"/>
    <w:next w:val="4"/>
    <w:qFormat/>
    <w:uiPriority w:val="0"/>
    <w:pPr>
      <w:spacing w:line="560" w:lineRule="exact"/>
      <w:jc w:val="center"/>
    </w:pPr>
    <w:rPr>
      <w:rFonts w:ascii="方正小标宋简体" w:hAnsi="华文中宋" w:eastAsia="方正小标宋简体"/>
      <w:b/>
      <w:sz w:val="44"/>
      <w:szCs w:val="44"/>
    </w:rPr>
  </w:style>
  <w:style w:type="paragraph" w:styleId="4">
    <w:name w:val="Body Text 2"/>
    <w:basedOn w:val="1"/>
    <w:unhideWhenUsed/>
    <w:qFormat/>
    <w:uiPriority w:val="99"/>
    <w:rPr>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1292</Words>
  <Characters>1470</Characters>
  <Lines>0</Lines>
  <Paragraphs>0</Paragraphs>
  <TotalTime>61</TotalTime>
  <ScaleCrop>false</ScaleCrop>
  <LinksUpToDate>false</LinksUpToDate>
  <CharactersWithSpaces>1516</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2022-05-11T01:32:16Z</cp:lastPrinted>
  <dcterms:modified xsi:type="dcterms:W3CDTF">2022-05-11T02:20:25Z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9FF26C00981B44D8952455779168220B</vt:lpwstr>
  </property>
</Properties>
</file>